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center"/>
        <w:rPr/>
      </w:pPr>
      <w:r>
        <w:rPr>
          <w:rFonts w:ascii="Arial" w:hAnsi="Arial" w:eastAsia="Arial" w:cs="Arial"/>
          <w:b/>
          <w:bCs/>
          <w:i w:val="0"/>
          <w:iCs w:val="0"/>
          <w:color w:val="1a4f82"/>
          <w:sz w:val="28"/>
          <w:szCs w:val="28"/>
        </w:rPr>
        <w:t xml:space="preserve">DOSSIER TECHNIQUE DE CONSTRUCTION</w:t>
      </w:r>
      <w:r/>
    </w:p>
    <w:p>
      <w:pPr>
        <w:pBdr/>
        <w:spacing w:after="80" w:before="80"/>
        <w:ind/>
        <w:jc w:val="center"/>
        <w:rPr/>
      </w:pPr>
      <w:r>
        <w:rPr>
          <w:rFonts w:ascii="Arial" w:hAnsi="Arial" w:eastAsia="Arial" w:cs="Arial"/>
          <w:b w:val="0"/>
          <w:bCs w:val="0"/>
          <w:i/>
          <w:iCs/>
          <w:color w:val="555555"/>
          <w:sz w:val="20"/>
          <w:szCs w:val="20"/>
        </w:rPr>
        <w:t xml:space="preserve">Boîte lumineuse lithophane artisanale — Phanoob Créations</w:t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tbl>
      <w:tblPr>
        <w:tblW w:w="9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00"/>
        <w:gridCol w:w="3193"/>
        <w:gridCol w:w="3193"/>
      </w:tblGrid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0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Réf. document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1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DTC-LB-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2026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1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1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0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Révision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1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1.0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1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0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Date de création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1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29/05/2026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1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0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Durée de conservation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1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10 ans minimum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1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(obligation légale CE)</w:t>
            </w:r>
            <w:r/>
          </w:p>
        </w:tc>
      </w:tr>
    </w:tbl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1a4f82"/>
          <w:sz w:val="22"/>
          <w:szCs w:val="22"/>
        </w:rPr>
        <w:t xml:space="preserve">1.  IDENTIFICATION DU PRODUIT</w:t>
      </w:r>
      <w:r/>
    </w:p>
    <w:tbl>
      <w:tblPr>
        <w:tblW w:w="9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0"/>
        <w:gridCol w:w="6586"/>
      </w:tblGrid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Désignation commerciale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Boîte lumineuse lithophane artisanale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Référence modèle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REF-LB-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001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Usage prévu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Luminaire décoratif d'intérieur, usage résidentiel ou offert en cadeau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Public cible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Grand public — particuliers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Marché de vente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France (marchés de Noël, vente directe, site phanoob.fr)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Marquage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5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Marquage CE apposé sur le produit / emballage (hauteur min. 5 mm)</w:t>
            </w:r>
            <w:r/>
          </w:p>
        </w:tc>
      </w:tr>
    </w:tbl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1a4f82"/>
          <w:sz w:val="22"/>
          <w:szCs w:val="22"/>
        </w:rPr>
        <w:t xml:space="preserve">2.  DESCRIPTION TECHNIQUE</w:t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000000"/>
          <w:sz w:val="20"/>
          <w:szCs w:val="20"/>
        </w:rPr>
        <w:t xml:space="preserve">2.1  Principe de fonctionnement</w:t>
      </w:r>
      <w:r/>
    </w:p>
    <w:p>
      <w:pPr>
        <w:pBdr/>
        <w:spacing w:after="60" w:before="60"/>
        <w:ind/>
        <w:rPr/>
      </w:pPr>
      <w:r>
        <w:rPr>
          <w:rFonts w:ascii="Arial" w:hAnsi="Arial" w:eastAsia="Arial" w:cs="Arial"/>
          <w:sz w:val="20"/>
          <w:szCs w:val="20"/>
        </w:rPr>
        <w:t xml:space="preserve">La boîte lumineuse est composée de trois sous-ensembles :</w:t>
      </w:r>
      <w:r/>
    </w:p>
    <w:p>
      <w:pPr>
        <w:pStyle w:val="736"/>
        <w:numPr>
          <w:ilvl w:val="0"/>
          <w:numId w:val="2"/>
        </w:numPr>
        <w:pBdr/>
        <w:spacing w:after="40" w:before="40"/>
        <w:ind/>
        <w:rPr/>
      </w:pPr>
      <w:r>
        <w:rPr>
          <w:rFonts w:ascii="Arial" w:hAnsi="Arial" w:eastAsia="Arial" w:cs="Arial"/>
          <w:sz w:val="20"/>
          <w:szCs w:val="20"/>
        </w:rPr>
        <w:t xml:space="preserve">Panneau lithophane : imprimé en résine photopolymère (SLA/MSLA). Les variations d'épaisseur créent un effet lumineux lorsqu'une source de lumière est placée derrière.</w:t>
      </w:r>
      <w:r/>
    </w:p>
    <w:p>
      <w:pPr>
        <w:pStyle w:val="736"/>
        <w:numPr>
          <w:ilvl w:val="0"/>
          <w:numId w:val="2"/>
        </w:numPr>
        <w:pBdr/>
        <w:spacing w:after="40" w:before="40"/>
        <w:ind/>
        <w:rPr/>
      </w:pPr>
      <w:r>
        <w:rPr>
          <w:rFonts w:ascii="Arial" w:hAnsi="Arial" w:eastAsia="Arial" w:cs="Arial"/>
          <w:sz w:val="20"/>
          <w:szCs w:val="20"/>
        </w:rPr>
        <w:t xml:space="preserve">Châssis : découpe laser de contreplaqué (bouleau/peuplier, ep. </w:t>
      </w:r>
      <w:r>
        <w:rPr>
          <w:rFonts w:ascii="Arial" w:hAnsi="Arial" w:eastAsia="Arial" w:cs="Arial"/>
          <w:sz w:val="20"/>
          <w:szCs w:val="20"/>
          <w:lang w:val="fr-FR"/>
        </w:rPr>
        <w:t xml:space="preserve">8</w:t>
      </w:r>
      <w:r>
        <w:rPr>
          <w:rFonts w:ascii="Arial" w:hAnsi="Arial" w:eastAsia="Arial" w:cs="Arial"/>
          <w:sz w:val="20"/>
          <w:szCs w:val="20"/>
        </w:rPr>
        <w:t xml:space="preserve"> mm). Assemblage par emboîtage et coll</w:t>
      </w:r>
      <w:r>
        <w:rPr>
          <w:rFonts w:ascii="Arial" w:hAnsi="Arial" w:eastAsia="Arial" w:cs="Arial"/>
          <w:sz w:val="20"/>
          <w:szCs w:val="20"/>
          <w:lang w:val="fr-FR"/>
        </w:rPr>
        <w:t xml:space="preserve">e à bois, arriere contreplaqué 2mm</w:t>
      </w:r>
      <w:r>
        <w:rPr>
          <w:rFonts w:ascii="Arial" w:hAnsi="Arial" w:eastAsia="Arial" w:cs="Arial"/>
          <w:sz w:val="20"/>
          <w:szCs w:val="20"/>
        </w:rPr>
        <w:t xml:space="preserve">.</w:t>
      </w:r>
      <w:r/>
    </w:p>
    <w:p>
      <w:pPr>
        <w:pStyle w:val="736"/>
        <w:numPr>
          <w:ilvl w:val="0"/>
          <w:numId w:val="2"/>
        </w:numPr>
        <w:pBdr/>
        <w:spacing w:after="40" w:before="40"/>
        <w:ind/>
        <w:rPr/>
      </w:pPr>
      <w:r>
        <w:rPr>
          <w:rFonts w:ascii="Arial" w:hAnsi="Arial" w:eastAsia="Arial" w:cs="Arial"/>
          <w:sz w:val="20"/>
          <w:szCs w:val="20"/>
        </w:rPr>
        <w:t xml:space="preserve">Module d'éclairage : </w:t>
      </w:r>
      <w:r>
        <w:rPr>
          <w:rFonts w:ascii="Arial" w:hAnsi="Arial" w:eastAsia="Arial" w:cs="Arial"/>
          <w:sz w:val="20"/>
          <w:szCs w:val="20"/>
          <w:lang w:val="fr-FR"/>
        </w:rPr>
        <w:t xml:space="preserve">15/16 </w:t>
      </w:r>
      <w:r>
        <w:rPr>
          <w:rFonts w:ascii="Arial" w:hAnsi="Arial" w:eastAsia="Arial" w:cs="Arial"/>
          <w:sz w:val="20"/>
          <w:szCs w:val="20"/>
        </w:rPr>
        <w:t xml:space="preserve">LEDs (</w:t>
      </w:r>
      <w:r>
        <w:rPr>
          <w:rFonts w:ascii="Arial" w:hAnsi="Arial" w:eastAsia="Arial" w:cs="Arial"/>
          <w:sz w:val="20"/>
          <w:szCs w:val="20"/>
          <w:lang w:val="fr-FR"/>
        </w:rPr>
        <w:t xml:space="preserve">2835 </w:t>
      </w:r>
      <w:r>
        <w:rPr>
          <w:rFonts w:ascii="Arial" w:hAnsi="Arial" w:eastAsia="Arial" w:cs="Arial"/>
          <w:sz w:val="20"/>
          <w:szCs w:val="20"/>
        </w:rPr>
        <w:t xml:space="preserve">blanches fixes</w:t>
      </w:r>
      <w:r>
        <w:rPr>
          <w:rFonts w:ascii="Arial" w:hAnsi="Arial" w:eastAsia="Arial" w:cs="Arial"/>
          <w:sz w:val="20"/>
          <w:szCs w:val="20"/>
        </w:rPr>
        <w:t xml:space="preserve">) alimentées en 5 V CC via </w:t>
      </w:r>
      <w:r>
        <w:rPr>
          <w:rFonts w:ascii="Arial" w:hAnsi="Arial" w:eastAsia="Arial" w:cs="Arial"/>
          <w:sz w:val="20"/>
          <w:szCs w:val="20"/>
          <w:lang w:val="fr-FR"/>
        </w:rPr>
        <w:t xml:space="preserve">leurre PD </w:t>
      </w:r>
      <w:r>
        <w:rPr>
          <w:rFonts w:ascii="Arial" w:hAnsi="Arial" w:eastAsia="Arial" w:cs="Arial"/>
          <w:sz w:val="20"/>
          <w:szCs w:val="20"/>
        </w:rPr>
        <w:t xml:space="preserve">USB-C</w:t>
      </w:r>
      <w:r>
        <w:rPr>
          <w:rFonts w:ascii="Arial" w:hAnsi="Arial" w:eastAsia="Arial" w:cs="Arial"/>
          <w:sz w:val="20"/>
          <w:szCs w:val="20"/>
          <w:lang w:val="fr-FR"/>
        </w:rPr>
        <w:t xml:space="preserve">.</w:t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000000"/>
          <w:sz w:val="20"/>
          <w:szCs w:val="20"/>
        </w:rPr>
        <w:t xml:space="preserve">2.2  Schéma électrique (simplifié)</w:t>
      </w:r>
      <w:r/>
    </w:p>
    <w:tbl>
      <w:tblPr>
        <w:tblW w:w="9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0"/>
        <w:gridCol w:w="2600"/>
        <w:gridCol w:w="2186"/>
        <w:gridCol w:w="2800"/>
      </w:tblGrid>
      <w:tr>
        <w:trPr/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Composant</w:t>
            </w:r>
            <w:r/>
          </w:p>
        </w:tc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Référence / Type</w:t>
            </w:r>
            <w:r/>
          </w:p>
        </w:tc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1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Tension nominale</w:t>
            </w:r>
            <w:r/>
          </w:p>
        </w:tc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Remarques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Alimentation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USB-C 5 V (PD décoy ou chargeur standard)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1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5 V CC ± 0,25 V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Fournie ou standard USB du client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LEDs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2835/Blanc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1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5 V CC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[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15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] LEDs, [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170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] mA/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boites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Protection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Fus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ible carré 392/385 500mA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1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—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Protection contre court-circuit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 en serie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Connecteur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USB-C femelle (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PD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 leurre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)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1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5 V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8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Fixé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par vis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sur panneau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2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mm bouleau</w:t>
            </w:r>
            <w:r/>
          </w:p>
        </w:tc>
      </w:tr>
    </w:tbl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1a4f82"/>
          <w:sz w:val="22"/>
          <w:szCs w:val="22"/>
        </w:rPr>
        <w:t xml:space="preserve">3.  MATÉRIAUX ET COMPOSANTS</w:t>
      </w:r>
      <w:r/>
    </w:p>
    <w:tbl>
      <w:tblPr>
        <w:tblW w:w="9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00"/>
        <w:gridCol w:w="2400"/>
        <w:gridCol w:w="2386"/>
        <w:gridCol w:w="2400"/>
      </w:tblGrid>
      <w:tr>
        <w:trPr/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Matériau</w:t>
            </w:r>
            <w:r/>
          </w:p>
        </w:tc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4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Fournisseur / Référence</w:t>
            </w:r>
            <w:r/>
          </w:p>
        </w:tc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3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Certifications</w:t>
            </w:r>
            <w:r/>
          </w:p>
        </w:tc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4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Fiche de données (FDS)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Résine SLA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4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Sunlu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3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RoHS ✔  REACH ✔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4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FDS disponible —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 Télécharger  sur sunlu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Contreplaqué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400" w:type="dxa"/>
            <w:vAlign w:val="center"/>
          </w:tcPr>
          <w:p>
            <w:pPr>
              <w:pBdr/>
              <w:spacing/>
              <w:ind/>
              <w:jc w:val="left"/>
              <w:rPr>
                <w:rFonts w:ascii="Arial" w:hAnsi="Arial" w:eastAsia="Arial" w:cs="Arial"/>
                <w:b w:val="0"/>
                <w:bCs w:val="0"/>
                <w:i w:val="0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undefined"/>
              </w:rPr>
              <w:t xml:space="preserve">S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undefined"/>
              </w:rPr>
              <w:t xml:space="preserve">hop1104030027 Store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undefined" w:bidi="undefined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undefined"/>
              </w:rPr>
            </w:r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3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FSC ou PEFC (si dispo.)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4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—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PCB / LEDs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4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222222"/>
                <w:sz w:val="21"/>
                <w:highlight w:val="white"/>
              </w:rPr>
              <w:t xml:space="preserve">ML Car Accessories Store</w:t>
            </w:r>
            <w:r>
              <w:rPr>
                <w:rFonts w:ascii="Arial" w:hAnsi="Arial" w:eastAsia="Arial" w:cs="Arial"/>
                <w:color w:val="222222"/>
                <w:sz w:val="21"/>
                <w:highlight w:val="white"/>
                <w:lang w:val="fr-FR"/>
              </w:rPr>
              <w:t xml:space="preserve"> </w:t>
            </w:r>
            <w:r>
              <w:rPr>
                <w:rFonts w:ascii="Arial" w:hAnsi="Arial" w:eastAsia="Arial" w:cs="Arial"/>
                <w:color w:val="222222"/>
                <w:sz w:val="21"/>
                <w:highlight w:val="none"/>
                <w:lang w:val="fr-FR"/>
              </w:rPr>
              <w:t xml:space="preserve">/ Aliexpresss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386" w:type="dxa"/>
            <w:vAlign w:val="center"/>
          </w:tcPr>
          <w:p w14:paraId="035359E7">
            <w:pPr>
              <w:pBdr/>
              <w:spacing/>
              <w:ind/>
              <w:rPr/>
            </w:pPr>
            <w:r/>
            <w:r>
              <w:t xml:space="preserve">Non disponible formellement</w:t>
            </w:r>
            <w:r/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400" w:type="dxa"/>
            <w:vAlign w:val="center"/>
          </w:tcPr>
          <w:p w14:paraId="475306A6"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r>
            <w:r>
              <w:t xml:space="preserve">Composant passif 5V basse tension,aucune substance listée RoHS identifiable(pas de pile, pas de mercure, pas de plomb visible)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638"/>
        </w:trPr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Leurre PD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USB-C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400" w:type="dxa"/>
            <w:vAlign w:val="center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b w:val="0"/>
                <w:bCs w:val="0"/>
                <w:i w:val="0"/>
                <w:color w:val="000000"/>
                <w:sz w:val="20"/>
                <w:szCs w:val="20"/>
                <w:lang w:val="fr-FR"/>
                <w14:ligatures w14:val="none"/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SZHJW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Technology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store / Aliexpress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 w:bidi="fr-FR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</w:r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386" w:type="dxa"/>
            <w:vAlign w:val="center"/>
          </w:tcPr>
          <w:p w14:paraId="4E3D5F51">
            <w:pPr>
              <w:pBdr/>
              <w:spacing/>
              <w:ind/>
              <w:rPr/>
            </w:pPr>
            <w:r/>
            <w:r>
              <w:t xml:space="preserve">Non disponible formellement</w:t>
            </w:r>
            <w:r/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400" w:type="dxa"/>
            <w:vAlign w:val="center"/>
          </w:tcPr>
          <w:p w14:paraId="65076B4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14:ligatures w14:val="none"/>
              </w:rPr>
            </w:pPr>
            <w:r>
              <w:rPr>
                <w:lang w:val="undefined"/>
              </w:rPr>
            </w:r>
            <w:r>
              <w:t xml:space="preserve">CH224K — LCSC C970725</w:t>
            </w:r>
            <w:r>
              <w:br/>
              <w:t xml:space="preserve">Déclaration fabricant puce (WCH) disponible sur lcsc.com</w:t>
            </w:r>
            <w:r>
              <w:rPr>
                <w:lang w:val="undefined"/>
              </w:rPr>
            </w:r>
          </w:p>
          <w:p>
            <w:pPr>
              <w:pBdr/>
              <w:spacing/>
              <w:ind/>
              <w:rPr>
                <w14:ligatures w14:val="none"/>
              </w:rPr>
            </w:pPr>
            <w:r>
              <w:rPr>
                <w:lang w:val="undefined" w:bidi="undefined"/>
              </w:rPr>
            </w:r>
            <w:r>
              <w:rPr>
                <w:lang w:val="undefined" w:bidi="undefined"/>
              </w:rPr>
            </w:r>
            <w:r>
              <w:rPr>
                <w:lang w:val="undefined"/>
              </w:rPr>
            </w:r>
          </w:p>
        </w:tc>
      </w:tr>
    </w:tbl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1a4f82"/>
          <w:sz w:val="22"/>
          <w:szCs w:val="22"/>
        </w:rPr>
        <w:t xml:space="preserve">4.  ÉVALUATION DES RISQUES</w:t>
      </w:r>
      <w:r/>
    </w:p>
    <w:tbl>
      <w:tblPr>
        <w:tblW w:w="9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00"/>
        <w:gridCol w:w="1900"/>
        <w:gridCol w:w="1686"/>
        <w:gridCol w:w="3600"/>
      </w:tblGrid>
      <w:tr>
        <w:trPr/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Risque identifié</w:t>
            </w:r>
            <w:r/>
          </w:p>
        </w:tc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9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Probabilité</w:t>
            </w:r>
            <w:r/>
          </w:p>
        </w:tc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6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Gravité</w:t>
            </w:r>
            <w:r/>
          </w:p>
        </w:tc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Mesure(s) de prévention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Court-circuit LEDs / USB-C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9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Faible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6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Moyenne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600" w:type="dxa"/>
            <w:vAlign w:val="center"/>
          </w:tcPr>
          <w:p w14:paraId="2FB7CD24"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Fus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ible carré 392/385 500mA</w:t>
            </w:r>
            <w:r/>
            <w:r/>
          </w:p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; câblage isolé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Échauffement excessif LEDs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9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Faible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6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Faible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Courant limité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(170mA),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distance LEDs / résine ≥ 10 mm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Contact accidentel pièces en résine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9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Faible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6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Faible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Résine entièrement polymérisée avant assemblage ; post-cure systématique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Ingestion / accessibilité (enfants)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9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Faible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6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Haute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Mention sur emballage : 'Hors de portée des enfants de moins de 3 ans'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Interférences électromagnétiques (CEM)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9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Faible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6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Faible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6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Composants conformes EN 55032 ; longueurs de câbles minimisées</w:t>
            </w:r>
            <w:r/>
          </w:p>
        </w:tc>
      </w:tr>
    </w:tbl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1a4f82"/>
          <w:sz w:val="22"/>
          <w:szCs w:val="22"/>
        </w:rPr>
        <w:t xml:space="preserve">5.  TESTS ET VÉRIFICATIONS RÉALISÉS</w:t>
      </w:r>
      <w:r/>
    </w:p>
    <w:tbl>
      <w:tblPr>
        <w:tblW w:w="9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00"/>
        <w:gridCol w:w="2393"/>
        <w:gridCol w:w="3793"/>
      </w:tblGrid>
      <w:tr>
        <w:trPr/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Test</w:t>
            </w:r>
            <w:r/>
          </w:p>
        </w:tc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3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Résultat</w:t>
            </w:r>
            <w:r/>
          </w:p>
        </w:tc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7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Observations / Date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Mesure courant consommé à pleine charge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3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170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mA — OK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7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28/05/2026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Vérification tension alimentation (multimètre)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3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5,0 V ± 0,2 V — OK 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793" w:type="dxa"/>
            <w:vAlign w:val="center"/>
          </w:tcPr>
          <w:p>
            <w:pPr>
              <w:pBdr/>
              <w:tabs>
                <w:tab w:val="left" w:leader="none" w:pos="914"/>
              </w:tabs>
              <w:spacing/>
              <w:ind/>
              <w:jc w:val="left"/>
              <w:rPr/>
            </w:pPr>
            <w:r>
              <w:rPr>
                <w:lang w:val="fr-FR"/>
              </w:rPr>
              <w:t xml:space="preserve">28/05/2026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Test d'échauffement (30 min, charge max)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3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Temp. maxi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45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°C — OK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793" w:type="dxa"/>
            <w:vAlign w:val="center"/>
          </w:tcPr>
          <w:p w14:paraId="42004B0D">
            <w:pPr>
              <w:pBdr/>
              <w:tabs>
                <w:tab w:val="left" w:leader="none" w:pos="914"/>
              </w:tabs>
              <w:spacing/>
              <w:ind/>
              <w:jc w:val="left"/>
              <w:rPr/>
            </w:pPr>
            <w:r>
              <w:rPr>
                <w:lang w:val="fr-FR"/>
              </w:rPr>
              <w:t xml:space="preserve">28/05/2026</w:t>
            </w:r>
            <w:r/>
            <w:r/>
          </w:p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Test de chute (1 m, sol dur)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3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OK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793" w:type="dxa"/>
            <w:vAlign w:val="center"/>
          </w:tcPr>
          <w:p>
            <w:pPr>
              <w:pBdr/>
              <w:tabs>
                <w:tab w:val="left" w:leader="none" w:pos="884"/>
              </w:tabs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28/05/2026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Vérification visuelle post-cure résine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3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OK 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7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28/05/2026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— UV 405 nm,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4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min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Test d'étanchéité connecteur USB-C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3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NOK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793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28/05/2026
</w:t>
            </w:r>
            <w:r/>
          </w:p>
        </w:tc>
      </w:tr>
    </w:tbl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1a4f82"/>
          <w:sz w:val="22"/>
          <w:szCs w:val="22"/>
        </w:rPr>
        <w:t xml:space="preserve">6.  MARQUAGE ET EMBALLAGE</w:t>
      </w:r>
      <w:r/>
    </w:p>
    <w:tbl>
      <w:tblPr>
        <w:tblW w:w="9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00"/>
        <w:gridCol w:w="6186"/>
      </w:tblGrid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Marquage CE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1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Apposé sur le produit et/ou l'emballage (hauteur min. 5 mm)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Mention fabricant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1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Phanoob Créations —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Massegros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(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4850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0), France — phanoob.fr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Tension d'alimentation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1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5 V CC — ⚡ Pictogramme électrique si pertinent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Avertissements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1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Usage intérieur uniquement — Ne pas exposer à l'humidité — Hors de portée des enfants &lt; 3 ans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Référence DoC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1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N° de la Déclaration UE de Conformité associée</w:t>
            </w:r>
            <w:r/>
          </w:p>
        </w:tc>
      </w:tr>
      <w:tr>
        <w:trPr/>
        <w:tc>
          <w:tcPr>
            <w:shd w:val="clear" w:color="auto" w:fill="eef4fb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Numéro de série / lot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61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[SN-LB-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XXXX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-XXX]  — inscri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t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e sur le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dos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du produit</w:t>
            </w:r>
            <w:r/>
          </w:p>
        </w:tc>
      </w:tr>
    </w:tbl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/>
          <w:bCs/>
          <w:i w:val="0"/>
          <w:iCs w:val="0"/>
          <w:color w:val="1a4f82"/>
          <w:sz w:val="22"/>
          <w:szCs w:val="22"/>
        </w:rPr>
        <w:t xml:space="preserve">7.  HISTORIQUE DES RÉVISIONS</w:t>
      </w:r>
      <w:r/>
    </w:p>
    <w:tbl>
      <w:tblPr>
        <w:tblW w:w="9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00"/>
        <w:gridCol w:w="2200"/>
        <w:gridCol w:w="2200"/>
        <w:gridCol w:w="3786"/>
      </w:tblGrid>
      <w:tr>
        <w:trPr/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Rév.</w:t>
            </w:r>
            <w:r/>
          </w:p>
        </w:tc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Date</w:t>
            </w:r>
            <w:r/>
          </w:p>
        </w:tc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Auteur</w:t>
            </w:r>
            <w:r/>
          </w:p>
        </w:tc>
        <w:tc>
          <w:tcPr>
            <w:shd w:val="clear" w:color="auto" w:fill="1a4f8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7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/>
                <w:sz w:val="20"/>
                <w:szCs w:val="20"/>
              </w:rPr>
              <w:t xml:space="preserve">Modifications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1.0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28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/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05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/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fr-FR"/>
              </w:rPr>
              <w:t xml:space="preserve">2026</w:t>
            </w: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Phanoob Créations</w:t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7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Création initiale du dossier</w:t>
            </w:r>
            <w:r/>
          </w:p>
        </w:tc>
      </w:tr>
      <w:tr>
        <w:trPr/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1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2200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left w:w="140" w:type="dxa"/>
              <w:top w:w="80" w:type="dxa"/>
              <w:right w:w="140" w:type="dxa"/>
              <w:bottom w:w="80" w:type="dxa"/>
            </w:tcMar>
            <w:tcW w:w="3786" w:type="dxa"/>
            <w:vAlign w:val="center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r>
            <w:r/>
          </w:p>
        </w:tc>
      </w:tr>
    </w:tbl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0"/>
          <w:szCs w:val="20"/>
        </w:rPr>
      </w:r>
      <w:r/>
    </w:p>
    <w:p>
      <w:pPr>
        <w:pBdr/>
        <w:spacing w:after="80" w:before="80"/>
        <w:ind/>
        <w:jc w:val="left"/>
        <w:rPr/>
      </w:pPr>
      <w:r>
        <w:rPr>
          <w:rFonts w:ascii="Arial" w:hAnsi="Arial" w:eastAsia="Arial" w:cs="Arial"/>
          <w:b w:val="0"/>
          <w:bCs w:val="0"/>
          <w:i/>
          <w:iCs/>
          <w:color w:val="cc4400"/>
          <w:sz w:val="17"/>
          <w:szCs w:val="17"/>
        </w:rPr>
        <w:t xml:space="preserve">⚠  Ce dossier technique doit être mis à jour à chaque modification significative du produit (composants, alimentation, matériaux, usage). Conservation obligatoire 10 ans.</w:t>
      </w:r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40" w:right="1260" w:bottom="1440" w:left="126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single" w:color="cccccc" w:sz="1" w:space="0"/>
      </w:pBdr>
      <w:spacing w:before="80"/>
      <w:ind/>
      <w:jc w:val="center"/>
      <w:rPr/>
    </w:pPr>
    <w:r>
      <w:rPr>
        <w:rFonts w:ascii="Arial" w:hAnsi="Arial" w:eastAsia="Arial" w:cs="Arial"/>
        <w:color w:val="888888"/>
        <w:sz w:val="16"/>
        <w:szCs w:val="16"/>
      </w:rPr>
      <w:t xml:space="preserve">Page </w:t>
    </w:r>
    <w:r>
      <w:rPr>
        <w:rFonts w:ascii="Arial" w:hAnsi="Arial" w:eastAsia="Arial" w:cs="Arial"/>
        <w:color w:val="888888"/>
        <w:sz w:val="16"/>
        <w:szCs w:val="16"/>
      </w:rPr>
      <w:t xml:space="preserve">  —  Confidentiel — Phanoob Créations — phanoob.fr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1a4f82" w:sz="6" w:space="0"/>
      </w:pBdr>
      <w:spacing w:after="80" w:before="80"/>
      <w:ind/>
      <w:jc w:val="left"/>
      <w:rPr/>
    </w:pPr>
    <w:r>
      <w:rPr>
        <w:rFonts w:ascii="Arial" w:hAnsi="Arial" w:eastAsia="Arial" w:cs="Arial"/>
        <w:b/>
        <w:bCs/>
        <w:i w:val="0"/>
        <w:iCs w:val="0"/>
        <w:color w:val="1a4f82"/>
        <w:sz w:val="20"/>
        <w:szCs w:val="20"/>
      </w:rPr>
      <w:t xml:space="preserve">PHANOOB CRÉATIONS  —  Dossier Technique de Construction (DTC)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 w:default="1">
    <w:name w:val="Normal"/>
    <w:qFormat/>
    <w:pPr>
      <w:pBdr/>
      <w:spacing/>
      <w:ind/>
    </w:pPr>
  </w:style>
  <w:style w:type="paragraph" w:styleId="145">
    <w:name w:val="Heading 7"/>
    <w:basedOn w:val="138"/>
    <w:next w:val="13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138"/>
    <w:next w:val="13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138"/>
    <w:next w:val="13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7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7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7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72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138"/>
    <w:next w:val="13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138"/>
    <w:next w:val="13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138"/>
    <w:next w:val="13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13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13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13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138"/>
    <w:next w:val="1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138"/>
    <w:next w:val="138"/>
    <w:uiPriority w:val="39"/>
    <w:unhideWhenUsed/>
    <w:pPr>
      <w:pBdr/>
      <w:spacing w:after="100"/>
      <w:ind/>
    </w:pPr>
  </w:style>
  <w:style w:type="paragraph" w:styleId="190">
    <w:name w:val="toc 2"/>
    <w:basedOn w:val="138"/>
    <w:next w:val="138"/>
    <w:uiPriority w:val="39"/>
    <w:unhideWhenUsed/>
    <w:pPr>
      <w:pBdr/>
      <w:spacing w:after="100"/>
      <w:ind w:left="220"/>
    </w:pPr>
  </w:style>
  <w:style w:type="paragraph" w:styleId="191">
    <w:name w:val="toc 3"/>
    <w:basedOn w:val="138"/>
    <w:next w:val="138"/>
    <w:uiPriority w:val="39"/>
    <w:unhideWhenUsed/>
    <w:pPr>
      <w:pBdr/>
      <w:spacing w:after="100"/>
      <w:ind w:left="440"/>
    </w:pPr>
  </w:style>
  <w:style w:type="paragraph" w:styleId="192">
    <w:name w:val="toc 4"/>
    <w:basedOn w:val="138"/>
    <w:next w:val="138"/>
    <w:uiPriority w:val="39"/>
    <w:unhideWhenUsed/>
    <w:pPr>
      <w:pBdr/>
      <w:spacing w:after="100"/>
      <w:ind w:left="660"/>
    </w:pPr>
  </w:style>
  <w:style w:type="paragraph" w:styleId="193">
    <w:name w:val="toc 5"/>
    <w:basedOn w:val="138"/>
    <w:next w:val="138"/>
    <w:uiPriority w:val="39"/>
    <w:unhideWhenUsed/>
    <w:pPr>
      <w:pBdr/>
      <w:spacing w:after="100"/>
      <w:ind w:left="880"/>
    </w:pPr>
  </w:style>
  <w:style w:type="paragraph" w:styleId="194">
    <w:name w:val="toc 6"/>
    <w:basedOn w:val="138"/>
    <w:next w:val="138"/>
    <w:uiPriority w:val="39"/>
    <w:unhideWhenUsed/>
    <w:pPr>
      <w:pBdr/>
      <w:spacing w:after="100"/>
      <w:ind w:left="1100"/>
    </w:pPr>
  </w:style>
  <w:style w:type="paragraph" w:styleId="195">
    <w:name w:val="toc 7"/>
    <w:basedOn w:val="138"/>
    <w:next w:val="138"/>
    <w:uiPriority w:val="39"/>
    <w:unhideWhenUsed/>
    <w:pPr>
      <w:pBdr/>
      <w:spacing w:after="100"/>
      <w:ind w:left="1320"/>
    </w:pPr>
  </w:style>
  <w:style w:type="paragraph" w:styleId="196">
    <w:name w:val="toc 8"/>
    <w:basedOn w:val="138"/>
    <w:next w:val="138"/>
    <w:uiPriority w:val="39"/>
    <w:unhideWhenUsed/>
    <w:pPr>
      <w:pBdr/>
      <w:spacing w:after="100"/>
      <w:ind w:left="1540"/>
    </w:pPr>
  </w:style>
  <w:style w:type="paragraph" w:styleId="197">
    <w:name w:val="toc 9"/>
    <w:basedOn w:val="138"/>
    <w:next w:val="13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138"/>
    <w:next w:val="138"/>
    <w:uiPriority w:val="99"/>
    <w:unhideWhenUsed/>
    <w:pPr>
      <w:pBdr/>
      <w:spacing w:after="0" w:afterAutospacing="0"/>
      <w:ind/>
    </w:pPr>
  </w:style>
  <w:style w:type="paragraph" w:styleId="728">
    <w:name w:val="Title"/>
    <w:qFormat/>
    <w:pPr>
      <w:pBdr/>
      <w:spacing/>
      <w:ind/>
    </w:pPr>
    <w:rPr>
      <w:sz w:val="56"/>
      <w:szCs w:val="56"/>
    </w:rPr>
  </w:style>
  <w:style w:type="paragraph" w:styleId="729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730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731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732">
    <w:name w:val="Heading 4"/>
    <w:qFormat/>
    <w:pPr>
      <w:pBdr/>
      <w:spacing/>
      <w:ind/>
    </w:pPr>
    <w:rPr>
      <w:i/>
      <w:iCs/>
      <w:color w:val="2e74b5"/>
    </w:rPr>
  </w:style>
  <w:style w:type="paragraph" w:styleId="733">
    <w:name w:val="Heading 5"/>
    <w:qFormat/>
    <w:pPr>
      <w:pBdr/>
      <w:spacing/>
      <w:ind/>
    </w:pPr>
    <w:rPr>
      <w:color w:val="2e74b5"/>
    </w:rPr>
  </w:style>
  <w:style w:type="paragraph" w:styleId="734">
    <w:name w:val="Heading 6"/>
    <w:qFormat/>
    <w:pPr>
      <w:pBdr/>
      <w:spacing/>
      <w:ind/>
    </w:pPr>
    <w:rPr>
      <w:color w:val="1f4d78"/>
    </w:rPr>
  </w:style>
  <w:style w:type="paragraph" w:styleId="735">
    <w:name w:val="Strong"/>
    <w:qFormat/>
    <w:pPr>
      <w:pBdr/>
      <w:spacing/>
      <w:ind/>
    </w:pPr>
    <w:rPr>
      <w:b/>
      <w:bCs/>
    </w:rPr>
  </w:style>
  <w:style w:type="paragraph" w:styleId="736">
    <w:name w:val="List Paragraph"/>
    <w:qFormat/>
    <w:pPr>
      <w:pBdr/>
      <w:spacing/>
      <w:ind/>
    </w:pPr>
  </w:style>
  <w:style w:type="character" w:styleId="737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738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39">
    <w:name w:val="footnote text"/>
    <w:link w:val="7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40">
    <w:name w:val="Footnote Text Char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42">
    <w:name w:val="endnote text"/>
    <w:link w:val="7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43">
    <w:name w:val="Endnote Text Char"/>
    <w:link w:val="74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revision>2</cp:revision>
  <dcterms:created xsi:type="dcterms:W3CDTF">2026-05-28T08:36:43Z</dcterms:created>
  <dcterms:modified xsi:type="dcterms:W3CDTF">2026-05-28T13:41:57Z</dcterms:modified>
</cp:coreProperties>
</file>